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1A410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E7245" w:rsidRPr="00641D51" w:rsidRDefault="009E724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 w:rsidR="00774BD7">
                    <w:t>28</w:t>
                  </w:r>
                  <w:r w:rsidRPr="005856F7">
                    <w:t>.</w:t>
                  </w:r>
                  <w:r w:rsidR="00774BD7">
                    <w:t>03</w:t>
                  </w:r>
                  <w:r w:rsidRPr="005856F7">
                    <w:t>.20</w:t>
                  </w:r>
                  <w:r w:rsidR="00774BD7">
                    <w:t>22</w:t>
                  </w:r>
                  <w:r w:rsidRPr="005856F7">
                    <w:t xml:space="preserve"> №</w:t>
                  </w:r>
                  <w:r w:rsidR="00774BD7"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A410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E7245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7245" w:rsidRPr="00C94464" w:rsidRDefault="00774B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9E7245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9E7245">
                    <w:rPr>
                      <w:sz w:val="24"/>
                      <w:szCs w:val="24"/>
                    </w:rPr>
                    <w:t xml:space="preserve"> </w:t>
                  </w:r>
                  <w:r w:rsidR="009E7245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40832">
        <w:rPr>
          <w:rFonts w:eastAsia="Courier New"/>
          <w:sz w:val="24"/>
          <w:szCs w:val="24"/>
          <w:lang w:bidi="ru-RU"/>
        </w:rPr>
        <w:t>«Начальное</w:t>
      </w:r>
      <w:r w:rsidR="009E7245">
        <w:rPr>
          <w:rFonts w:eastAsia="Courier New"/>
          <w:sz w:val="24"/>
          <w:szCs w:val="24"/>
          <w:lang w:bidi="ru-RU"/>
        </w:rPr>
        <w:t xml:space="preserve"> общее </w:t>
      </w:r>
      <w:r w:rsidR="00F40832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9E7245" w:rsidRPr="00C4549C" w:rsidRDefault="009E7245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774B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774BD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74BD7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74BD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774BD7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D87F1A">
        <w:rPr>
          <w:iCs/>
          <w:sz w:val="24"/>
          <w:szCs w:val="24"/>
        </w:rPr>
        <w:t xml:space="preserve"> 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774BD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774BD7">
        <w:rPr>
          <w:spacing w:val="-3"/>
          <w:sz w:val="24"/>
          <w:szCs w:val="24"/>
          <w:lang w:eastAsia="en-US"/>
        </w:rPr>
        <w:t>25 марта</w:t>
      </w:r>
      <w:r w:rsidR="00306BDC">
        <w:rPr>
          <w:spacing w:val="-3"/>
          <w:sz w:val="24"/>
          <w:szCs w:val="24"/>
          <w:lang w:eastAsia="en-US"/>
        </w:rPr>
        <w:t xml:space="preserve">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774BD7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774BD7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</w:t>
      </w:r>
      <w:r w:rsidR="009E7245">
        <w:rPr>
          <w:sz w:val="24"/>
          <w:szCs w:val="24"/>
        </w:rPr>
        <w:t>1</w:t>
      </w:r>
      <w:r w:rsidR="00306BDC" w:rsidRPr="00306BDC">
        <w:rPr>
          <w:sz w:val="24"/>
          <w:szCs w:val="24"/>
        </w:rPr>
        <w:t xml:space="preserve">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E7245">
        <w:rPr>
          <w:sz w:val="24"/>
          <w:szCs w:val="24"/>
        </w:rPr>
        <w:t>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Pr="00C4549C">
        <w:rPr>
          <w:sz w:val="24"/>
          <w:szCs w:val="24"/>
        </w:rPr>
        <w:t>;</w:t>
      </w:r>
    </w:p>
    <w:p w:rsidR="008B078C" w:rsidRPr="00D21FE4" w:rsidRDefault="00A84C24" w:rsidP="008B078C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8B078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B078C" w:rsidRPr="00D21FE4" w:rsidRDefault="008B078C" w:rsidP="008B078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B078C" w:rsidRPr="00D21FE4" w:rsidRDefault="008B078C" w:rsidP="008B078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078C" w:rsidRPr="00D21FE4" w:rsidRDefault="008B078C" w:rsidP="008B078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B078C" w:rsidRPr="00D21FE4" w:rsidRDefault="008B078C" w:rsidP="008B078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078C" w:rsidRPr="00D21FE4" w:rsidRDefault="008B078C" w:rsidP="008B078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4549C" w:rsidRDefault="008B078C" w:rsidP="008B078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774BD7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774BD7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774BD7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774BD7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774BD7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74BD7">
        <w:rPr>
          <w:sz w:val="24"/>
          <w:szCs w:val="24"/>
        </w:rPr>
        <w:t>3</w:t>
      </w:r>
      <w:r w:rsidR="00D87F1A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774BD7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774BD7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774BD7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74BD7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</w:t>
      </w:r>
      <w:r w:rsidR="00774BD7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774BD7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20F69" w:rsidRDefault="007074EC" w:rsidP="00720F69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720F69">
              <w:rPr>
                <w:sz w:val="24"/>
                <w:szCs w:val="24"/>
                <w:lang w:eastAsia="en-US"/>
              </w:rPr>
              <w:t xml:space="preserve"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ОПК-2.5 знать развивающие функции процессов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ОПК-2.14 уметь применять в образовательном процессе знания индивидуальных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особенностей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экспертную оценку процессов воспитания и обучения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ОПК-2.17 владеть готовностью воспринимать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3E06C2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1D3924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УК-1.9 уметь читать и представлять статистические данные в разных видах (таблицы, </w:t>
            </w:r>
          </w:p>
          <w:p w:rsidR="00720F69" w:rsidRDefault="00720F69" w:rsidP="00720F69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диаграммы, графики), проводить все этапы статистической обработки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720F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 xml:space="preserve">осуществлять </w:t>
            </w:r>
            <w:r w:rsidR="00720F69">
              <w:rPr>
                <w:sz w:val="24"/>
                <w:szCs w:val="24"/>
                <w:lang w:eastAsia="en-US"/>
              </w:rPr>
              <w:t>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720F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 xml:space="preserve">Способен </w:t>
            </w:r>
            <w:r w:rsidR="00720F69">
              <w:rPr>
                <w:sz w:val="24"/>
                <w:szCs w:val="24"/>
              </w:rPr>
              <w:t>осуществлять деловую коммуникацию в устной</w:t>
            </w:r>
            <w:r w:rsidR="007E02BF">
              <w:rPr>
                <w:sz w:val="24"/>
                <w:szCs w:val="24"/>
              </w:rPr>
              <w:t xml:space="preserve"> и письменной формах на госудасртвенном языке Российской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t xml:space="preserve"> Федерации и на ино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странном (ых) языке (ах)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E02BF" w:rsidP="007E02B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 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УК-4.2 знать основные нормы иностранного  языка в области устной и письменной речи,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иностранного языков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67017" w:rsidRP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774BD7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74BD7">
        <w:rPr>
          <w:b/>
          <w:sz w:val="24"/>
          <w:szCs w:val="24"/>
        </w:rPr>
        <w:t>Указание объема практической подготовки в форме учебной практики (социально-значимой)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774BD7">
        <w:rPr>
          <w:b/>
          <w:sz w:val="24"/>
          <w:szCs w:val="24"/>
        </w:rPr>
        <w:t>практической подготовки в форме учебной практики (социально-значимой)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6A6692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92">
              <w:rPr>
                <w:rFonts w:eastAsia="Times New Roman"/>
                <w:bCs/>
                <w:color w:val="000000"/>
              </w:rPr>
              <w:t>2</w:t>
            </w:r>
            <w:r w:rsidR="00AA6D82" w:rsidRPr="006A6692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6A6692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6A669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анализ </w:t>
            </w: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составление плана-конспекта/сценария со</w:t>
            </w:r>
            <w:r w:rsidRPr="00954718">
              <w:rPr>
                <w:color w:val="000000"/>
                <w:sz w:val="24"/>
                <w:szCs w:val="24"/>
              </w:rPr>
              <w:lastRenderedPageBreak/>
              <w:t>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D87F1A" w:rsidRPr="006A669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6A669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6A6692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bCs/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D87F1A" w:rsidRPr="006A669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6A6692" w:rsidRDefault="00D90C32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6692">
              <w:rPr>
                <w:rFonts w:ascii="Times New Roman" w:eastAsia="Times New Roman" w:hAnsi="Times New Roman"/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6A669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6A669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87F1A" w:rsidRPr="006A6692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74BD7">
        <w:rPr>
          <w:b/>
          <w:sz w:val="24"/>
          <w:szCs w:val="24"/>
        </w:rPr>
        <w:t>практической подготовки в форме учебной практики (социально-значимой)</w:t>
      </w: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</w:t>
      </w:r>
      <w:r w:rsidRPr="00C4549C">
        <w:rPr>
          <w:sz w:val="16"/>
          <w:szCs w:val="16"/>
        </w:rPr>
        <w:lastRenderedPageBreak/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</w:t>
      </w:r>
      <w:r w:rsidRPr="00C4549C">
        <w:rPr>
          <w:sz w:val="24"/>
          <w:szCs w:val="24"/>
        </w:rPr>
        <w:lastRenderedPageBreak/>
        <w:t xml:space="preserve">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74BD7">
        <w:rPr>
          <w:b/>
          <w:sz w:val="24"/>
          <w:szCs w:val="24"/>
        </w:rPr>
        <w:t>практической подготовки в форме учебной практики (социально-значимой)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</w:t>
      </w:r>
      <w:r w:rsidR="00774BD7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1A410D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1A410D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0" w:history="1">
        <w:r w:rsidR="001A410D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</w:t>
      </w:r>
      <w:r w:rsidRPr="008C2F0A">
        <w:rPr>
          <w:sz w:val="24"/>
          <w:szCs w:val="24"/>
        </w:rPr>
        <w:lastRenderedPageBreak/>
        <w:t xml:space="preserve">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1" w:history="1">
        <w:r w:rsidR="001A410D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1A410D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3" w:history="1">
        <w:r w:rsidR="001A410D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4" w:history="1">
        <w:r w:rsidR="001A410D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5" w:history="1">
        <w:r w:rsidR="001A410D">
          <w:rPr>
            <w:rStyle w:val="a6"/>
            <w:sz w:val="24"/>
            <w:szCs w:val="24"/>
          </w:rPr>
          <w:t>https://urait.ru/bcode/474593</w:t>
        </w:r>
      </w:hyperlink>
      <w:r w:rsidRPr="00D87F1A">
        <w:rPr>
          <w:sz w:val="24"/>
          <w:szCs w:val="24"/>
        </w:rPr>
        <w:t xml:space="preserve"> </w:t>
      </w:r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C4549C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A410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A410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1A410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A410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4549C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о прохождении </w:t>
      </w:r>
      <w:r w:rsidR="00774BD7">
        <w:rPr>
          <w:sz w:val="28"/>
          <w:szCs w:val="28"/>
        </w:rPr>
        <w:t>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1A410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9E7245" w:rsidRPr="00306E74" w:rsidRDefault="009E724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E7245" w:rsidRPr="00306E74" w:rsidRDefault="009E724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9E7245" w:rsidRDefault="009E724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E7245" w:rsidRPr="00025D25" w:rsidRDefault="009E724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  <w:r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г.Омск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2604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2604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32604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2604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D7" w:rsidRPr="0032604C" w:rsidRDefault="00774BD7" w:rsidP="00774BD7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rPr>
          <w:rFonts w:eastAsia="Times New Roman"/>
          <w:sz w:val="24"/>
          <w:szCs w:val="24"/>
        </w:rPr>
      </w:pPr>
      <w:r w:rsidRPr="0032604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4BD7" w:rsidRPr="0032604C" w:rsidRDefault="00774BD7" w:rsidP="00774BD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4BD7" w:rsidRPr="0032604C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32604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74BD7" w:rsidRPr="0032604C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2604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2604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74BD7" w:rsidRPr="0032604C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74BD7" w:rsidRPr="0032604C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74BD7" w:rsidRPr="0032604C" w:rsidRDefault="00774BD7" w:rsidP="00774BD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74BD7" w:rsidRPr="0032604C" w:rsidRDefault="00774BD7" w:rsidP="00774BD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774BD7" w:rsidRPr="0097109E" w:rsidRDefault="00774BD7" w:rsidP="00774BD7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774BD7" w:rsidRPr="00B928E9" w:rsidRDefault="00774BD7" w:rsidP="00774BD7">
      <w:pPr>
        <w:numPr>
          <w:ilvl w:val="0"/>
          <w:numId w:val="36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774BD7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ED1BE9" w:rsidRDefault="00774BD7" w:rsidP="00026F8D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774BD7" w:rsidRPr="00ED1BE9" w:rsidRDefault="00774BD7" w:rsidP="00026F8D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774BD7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D7" w:rsidRPr="00DC45DC" w:rsidRDefault="00774BD7" w:rsidP="00026F8D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D7" w:rsidRPr="00DC45DC" w:rsidRDefault="00774BD7" w:rsidP="00026F8D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общее образование» </w:t>
            </w:r>
          </w:p>
          <w:p w:rsidR="00774BD7" w:rsidRPr="00DC45DC" w:rsidRDefault="00774BD7" w:rsidP="00026F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D7" w:rsidRPr="006A427A" w:rsidRDefault="00774BD7" w:rsidP="00026F8D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774BD7" w:rsidRPr="006A427A" w:rsidRDefault="00774BD7" w:rsidP="00026F8D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774BD7" w:rsidRPr="006A6692" w:rsidRDefault="00774BD7" w:rsidP="00026F8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D4C2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774BD7" w:rsidRPr="006A6692" w:rsidRDefault="00774BD7" w:rsidP="00026F8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проводимые в организации по</w:t>
            </w:r>
            <w:r w:rsidRPr="006D4C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74BD7" w:rsidRPr="006A427A" w:rsidRDefault="00774BD7" w:rsidP="00026F8D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774BD7" w:rsidRPr="006A427A" w:rsidRDefault="00774BD7" w:rsidP="00026F8D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774BD7" w:rsidRPr="006A6692" w:rsidRDefault="00774BD7" w:rsidP="00774BD7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774BD7" w:rsidRPr="006A6692" w:rsidRDefault="00774BD7" w:rsidP="00774BD7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774BD7" w:rsidRPr="006A6692" w:rsidRDefault="00774BD7" w:rsidP="00774BD7">
            <w:pPr>
              <w:pStyle w:val="af3"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D7" w:rsidRPr="00B928E9" w:rsidRDefault="00774BD7" w:rsidP="00026F8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D7" w:rsidRPr="00B928E9" w:rsidRDefault="00774BD7" w:rsidP="00026F8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74BD7" w:rsidRPr="00DC45DC" w:rsidRDefault="00774BD7" w:rsidP="00774BD7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774BD7" w:rsidRPr="0097109E" w:rsidRDefault="00774BD7" w:rsidP="00774BD7">
      <w:pPr>
        <w:ind w:firstLine="4536"/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774BD7" w:rsidRPr="0097109E" w:rsidRDefault="00774BD7" w:rsidP="00774BD7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774BD7" w:rsidRPr="0097109E" w:rsidRDefault="00774BD7" w:rsidP="00774BD7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774BD7" w:rsidRPr="0097109E" w:rsidRDefault="00774BD7" w:rsidP="00774BD7">
      <w:pPr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74BD7" w:rsidRPr="0097109E" w:rsidRDefault="00774BD7" w:rsidP="00774BD7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74BD7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774BD7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 </w:t>
            </w:r>
            <w:r>
              <w:t>БОУ «Средняя общеобразовательная школа № 1»</w:t>
            </w:r>
            <w:r w:rsidRPr="0097109E">
              <w:rPr>
                <w:rFonts w:eastAsia="Times New Roman"/>
              </w:rPr>
              <w:t xml:space="preserve"> </w:t>
            </w:r>
          </w:p>
          <w:p w:rsidR="00774BD7" w:rsidRPr="00B928E9" w:rsidRDefault="00774BD7" w:rsidP="00026F8D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774BD7" w:rsidRPr="00B928E9" w:rsidRDefault="00774BD7" w:rsidP="00026F8D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B928E9" w:rsidRDefault="001A410D" w:rsidP="00026F8D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774BD7" w:rsidRPr="0097109E">
              <w:rPr>
                <w:rFonts w:eastAsia="Times New Roman"/>
              </w:rPr>
              <w:t xml:space="preserve"> </w:t>
            </w:r>
            <w:r w:rsidR="00774BD7" w:rsidRPr="00B928E9">
              <w:rPr>
                <w:rFonts w:eastAsia="Times New Roman"/>
                <w:color w:val="FF0000"/>
              </w:rPr>
              <w:t xml:space="preserve">644099, </w:t>
            </w:r>
            <w:r w:rsidR="00774BD7" w:rsidRPr="00B928E9">
              <w:rPr>
                <w:rFonts w:eastAsia="Times New Roman"/>
                <w:bCs/>
                <w:color w:val="FF0000"/>
              </w:rPr>
              <w:t>Омская</w:t>
            </w:r>
            <w:r w:rsidR="00774BD7" w:rsidRPr="00B928E9">
              <w:rPr>
                <w:rFonts w:eastAsia="Times New Roman"/>
                <w:color w:val="FF0000"/>
              </w:rPr>
              <w:t xml:space="preserve"> обл., г </w:t>
            </w:r>
            <w:r w:rsidR="00774BD7" w:rsidRPr="00B928E9">
              <w:rPr>
                <w:rFonts w:eastAsia="Times New Roman"/>
                <w:bCs/>
                <w:color w:val="FF0000"/>
              </w:rPr>
              <w:t>Омск</w:t>
            </w:r>
            <w:r w:rsidR="00774BD7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D7" w:rsidRPr="0097109E" w:rsidRDefault="00774BD7" w:rsidP="00026F8D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</w:p>
          <w:p w:rsidR="00774BD7" w:rsidRPr="0097109E" w:rsidRDefault="00774BD7" w:rsidP="00026F8D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774BD7" w:rsidRPr="0097109E" w:rsidRDefault="00774BD7" w:rsidP="00026F8D">
            <w:pPr>
              <w:rPr>
                <w:rFonts w:eastAsia="Times New Roman"/>
                <w:color w:val="FF0000"/>
              </w:rPr>
            </w:pPr>
          </w:p>
          <w:p w:rsidR="00774BD7" w:rsidRPr="0097109E" w:rsidRDefault="00774BD7" w:rsidP="00026F8D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774BD7" w:rsidRPr="002F0218" w:rsidRDefault="00774BD7" w:rsidP="00774BD7">
      <w:pPr>
        <w:rPr>
          <w:bCs/>
          <w:sz w:val="24"/>
          <w:szCs w:val="24"/>
        </w:rPr>
      </w:pPr>
    </w:p>
    <w:p w:rsidR="00774BD7" w:rsidRPr="001976BF" w:rsidRDefault="00774BD7" w:rsidP="00774BD7">
      <w:pPr>
        <w:jc w:val="center"/>
        <w:rPr>
          <w:rFonts w:eastAsia="Times New Roman"/>
          <w:i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</w:t>
      </w:r>
      <w:r>
        <w:rPr>
          <w:rFonts w:eastAsia="Times New Roman"/>
          <w:i/>
          <w:sz w:val="24"/>
          <w:szCs w:val="24"/>
        </w:rPr>
        <w:t>учебной</w:t>
      </w:r>
      <w:r w:rsidRPr="001976BF">
        <w:rPr>
          <w:rFonts w:eastAsia="Times New Roman"/>
          <w:i/>
          <w:sz w:val="24"/>
          <w:szCs w:val="24"/>
        </w:rPr>
        <w:t xml:space="preserve"> практики </w:t>
      </w:r>
    </w:p>
    <w:p w:rsidR="00774BD7" w:rsidRPr="001976BF" w:rsidRDefault="00774BD7" w:rsidP="00774BD7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74BD7" w:rsidRPr="001976BF" w:rsidRDefault="00774BD7" w:rsidP="00774BD7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:rsidR="00774BD7" w:rsidRPr="001976BF" w:rsidRDefault="00774BD7" w:rsidP="00774BD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774BD7" w:rsidRPr="001976BF" w:rsidRDefault="00774BD7" w:rsidP="00774BD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774BD7" w:rsidRPr="001976BF" w:rsidRDefault="00774BD7" w:rsidP="00774BD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774BD7" w:rsidRPr="001976BF" w:rsidRDefault="00774BD7" w:rsidP="00774BD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>
        <w:rPr>
          <w:rFonts w:eastAsia="Times New Roman"/>
          <w:sz w:val="24"/>
          <w:szCs w:val="24"/>
        </w:rPr>
        <w:t xml:space="preserve"> практической подготовки в форме учебной практики (</w:t>
      </w:r>
      <w:r w:rsidRPr="001976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социально-значимой)</w:t>
      </w:r>
      <w:r w:rsidRPr="001976BF">
        <w:rPr>
          <w:rFonts w:eastAsia="Times New Roman"/>
          <w:sz w:val="24"/>
          <w:szCs w:val="24"/>
        </w:rPr>
        <w:t xml:space="preserve"> в ____________________________________________________</w:t>
      </w:r>
    </w:p>
    <w:p w:rsidR="00774BD7" w:rsidRPr="001976BF" w:rsidRDefault="00774BD7" w:rsidP="00774BD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74BD7" w:rsidRPr="001976BF" w:rsidRDefault="00774BD7" w:rsidP="00774BD7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774BD7" w:rsidRPr="001976BF" w:rsidRDefault="00774BD7" w:rsidP="00774BD7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774BD7" w:rsidRPr="001976BF" w:rsidRDefault="00774BD7" w:rsidP="00774BD7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774BD7" w:rsidRPr="001976BF" w:rsidRDefault="00774BD7" w:rsidP="00774BD7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774BD7" w:rsidRPr="001976BF" w:rsidRDefault="00774BD7" w:rsidP="00774BD7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774BD7" w:rsidRPr="001976BF" w:rsidRDefault="00774BD7" w:rsidP="00774BD7">
      <w:pPr>
        <w:spacing w:after="120"/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774BD7" w:rsidRPr="001976BF" w:rsidRDefault="00774BD7" w:rsidP="0077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774BD7" w:rsidRPr="001976BF" w:rsidRDefault="00774BD7" w:rsidP="00774BD7">
      <w:pPr>
        <w:spacing w:after="120"/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774BD7" w:rsidRPr="001976BF" w:rsidRDefault="00774BD7" w:rsidP="0077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774BD7" w:rsidRPr="001976BF" w:rsidRDefault="00774BD7" w:rsidP="00774BD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774BD7" w:rsidRPr="001976BF" w:rsidRDefault="00774BD7" w:rsidP="00774BD7">
      <w:pPr>
        <w:pStyle w:val="30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774BD7" w:rsidRPr="001976BF" w:rsidRDefault="00774BD7" w:rsidP="0077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774BD7" w:rsidRDefault="00774BD7" w:rsidP="00774BD7">
      <w:pPr>
        <w:rPr>
          <w:rFonts w:eastAsia="Times New Roman"/>
          <w:sz w:val="24"/>
          <w:szCs w:val="24"/>
        </w:rPr>
      </w:pPr>
    </w:p>
    <w:p w:rsidR="00774BD7" w:rsidRPr="002F0218" w:rsidRDefault="00774BD7" w:rsidP="00774BD7">
      <w:pPr>
        <w:rPr>
          <w:bCs/>
          <w:sz w:val="24"/>
          <w:szCs w:val="24"/>
        </w:rPr>
      </w:pPr>
    </w:p>
    <w:p w:rsidR="00774BD7" w:rsidRPr="00CB70C5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74BD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692" w:rsidRDefault="006A6692" w:rsidP="00160BC1">
      <w:r>
        <w:separator/>
      </w:r>
    </w:p>
  </w:endnote>
  <w:endnote w:type="continuationSeparator" w:id="0">
    <w:p w:rsidR="006A6692" w:rsidRDefault="006A669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692" w:rsidRDefault="006A6692" w:rsidP="00160BC1">
      <w:r>
        <w:separator/>
      </w:r>
    </w:p>
  </w:footnote>
  <w:footnote w:type="continuationSeparator" w:id="0">
    <w:p w:rsidR="006A6692" w:rsidRDefault="006A669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4"/>
  </w:num>
  <w:num w:numId="4">
    <w:abstractNumId w:val="16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33"/>
  </w:num>
  <w:num w:numId="11">
    <w:abstractNumId w:val="27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9"/>
  </w:num>
  <w:num w:numId="19">
    <w:abstractNumId w:val="26"/>
  </w:num>
  <w:num w:numId="20">
    <w:abstractNumId w:val="6"/>
  </w:num>
  <w:num w:numId="21">
    <w:abstractNumId w:val="9"/>
  </w:num>
  <w:num w:numId="22">
    <w:abstractNumId w:val="25"/>
  </w:num>
  <w:num w:numId="23">
    <w:abstractNumId w:val="8"/>
  </w:num>
  <w:num w:numId="24">
    <w:abstractNumId w:val="30"/>
  </w:num>
  <w:num w:numId="25">
    <w:abstractNumId w:val="11"/>
  </w:num>
  <w:num w:numId="26">
    <w:abstractNumId w:val="5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35"/>
  </w:num>
  <w:num w:numId="33">
    <w:abstractNumId w:val="3"/>
  </w:num>
  <w:num w:numId="34">
    <w:abstractNumId w:val="20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410D"/>
    <w:rsid w:val="001A6533"/>
    <w:rsid w:val="001C4FED"/>
    <w:rsid w:val="001C6305"/>
    <w:rsid w:val="001D1168"/>
    <w:rsid w:val="001D3924"/>
    <w:rsid w:val="001D438B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F34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27051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A6692"/>
    <w:rsid w:val="006B0CA3"/>
    <w:rsid w:val="006B4519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F69"/>
    <w:rsid w:val="00724CED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4BD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02BF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078C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E7245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B42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41B1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B4519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774BD7"/>
    <w:rPr>
      <w:sz w:val="22"/>
      <w:szCs w:val="22"/>
      <w:lang w:eastAsia="en-US"/>
    </w:rPr>
  </w:style>
  <w:style w:type="paragraph" w:styleId="af5">
    <w:name w:val="No Spacing"/>
    <w:link w:val="af6"/>
    <w:uiPriority w:val="99"/>
    <w:qFormat/>
    <w:rsid w:val="00774BD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774BD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C6B42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1D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24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10479</Words>
  <Characters>59733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70072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2020-01-16T09:14:00Z</cp:lastPrinted>
  <dcterms:created xsi:type="dcterms:W3CDTF">2022-02-19T10:07:00Z</dcterms:created>
  <dcterms:modified xsi:type="dcterms:W3CDTF">2022-11-13T12:34:00Z</dcterms:modified>
</cp:coreProperties>
</file>